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rFonts w:ascii="Lato" w:cs="Lato" w:eastAsia="Lato" w:hAnsi="Lato"/>
          <w:color w:val="dc002d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color w:val="dc002d"/>
          <w:sz w:val="36"/>
          <w:szCs w:val="36"/>
          <w:rtl w:val="0"/>
        </w:rPr>
        <w:t xml:space="preserve">        The Many Myths of Commercial Litigation in India: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Lato" w:cs="Lato" w:eastAsia="Lato" w:hAnsi="Lato"/>
          <w:color w:val="80808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color w:val="808080"/>
          <w:sz w:val="36"/>
          <w:szCs w:val="36"/>
          <w:rtl w:val="0"/>
        </w:rPr>
        <w:t xml:space="preserve">An Assessment of the Commercial Courts Act, 2015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 Round-Table Discussion hosted by the Vidhi Centre for Legal Policy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Date: Saturday, July 6, 2019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Venue: Juniper Hall, India Habitat Centre, New Delhi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Registration opens at 10:30 AM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Lato" w:cs="Lato" w:eastAsia="Lato" w:hAnsi="Lato"/>
          <w:sz w:val="16"/>
          <w:szCs w:val="16"/>
          <w:u w:val="single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7005"/>
        <w:tblGridChange w:id="0">
          <w:tblGrid>
            <w:gridCol w:w="2130"/>
            <w:gridCol w:w="700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c002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240" w:line="276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TIMINGS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c002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before="240" w:line="276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before="200" w:line="276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10:30-11:00 AM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Registration and tea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40" w:before="240" w:line="276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11:00-11:30 AM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Presentation by Vaidehi Misra and Ameen Jauhar on the findings of their report titled Commercial Courts Act, 2015: An Empirical Impact Evaluation.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="276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11:30  AM - 01:30 PM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Roundtable Discussion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Moderator: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Prashant Reddy, Senior Resident Fellow, Vidhi Centre for Legal Policy, New Delhi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Themes for the discussion: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Round 1 - Should there be exclusive commercial courts, given the shortfall of judges and courtrooms  in India?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Round 2 -  How has the Act been implementation in different courts across India?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Round 3 - Are procedural reforms sufficient to improve the litigation culture in India?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Lato" w:cs="Lato" w:eastAsia="Lato" w:hAnsi="Lato"/>
                <w:sz w:val="20"/>
                <w:szCs w:val="20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Speakers: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Mr D. Raja, Member Rajya Sabha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Mr Pratik Datta, Senior Research Fellow, Shardul Amarchand Mangaldas &amp; Co., Delhi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Ms Leah Verghese, Research Manager, Daksh, Bangalore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Mr Sanjeev Kapoor, Partner, Khaitan &amp; Co., Delhi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Mr Jaideep Verma, Jaideep Verma &amp; Associates, Vadodara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Mr Hasit Seth, Chambers of Hasit Seth, Bombay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Mr Mihir Naniwadekar,  Advocate, Bombay High Court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Mr Swaroop Mamidipudi, Advocate, Madras High Court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240" w:before="240" w:line="276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01:30 - 02:30 PM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ind w:right="12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Lunch</w:t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ind w:right="-18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  <w:t xml:space="preserve">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-638174</wp:posOffset>
          </wp:positionH>
          <wp:positionV relativeFrom="paragraph">
            <wp:posOffset>-57149</wp:posOffset>
          </wp:positionV>
          <wp:extent cx="1443038" cy="315366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3038" cy="3153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4867275</wp:posOffset>
          </wp:positionH>
          <wp:positionV relativeFrom="paragraph">
            <wp:posOffset>-57149</wp:posOffset>
          </wp:positionV>
          <wp:extent cx="1271588" cy="356974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588" cy="35697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