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DC" w:rsidRPr="00AB0062" w:rsidRDefault="00965363" w:rsidP="00AB0062">
      <w:pPr>
        <w:pStyle w:val="Heading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i/>
          <w:color w:val="282827"/>
          <w:spacing w:val="5"/>
          <w:sz w:val="24"/>
          <w:szCs w:val="24"/>
        </w:rPr>
      </w:pPr>
      <w:r w:rsidRPr="00AB0062">
        <w:rPr>
          <w:rFonts w:ascii="Times New Roman" w:hAnsi="Times New Roman" w:cs="Times New Roman"/>
          <w:b/>
          <w:i/>
          <w:color w:val="282827"/>
          <w:spacing w:val="5"/>
          <w:sz w:val="24"/>
          <w:szCs w:val="24"/>
        </w:rPr>
        <w:t>Call for Papers: Journal</w:t>
      </w:r>
      <w:r w:rsidR="008E6C11" w:rsidRPr="00AB0062">
        <w:rPr>
          <w:rFonts w:ascii="Times New Roman" w:hAnsi="Times New Roman" w:cs="Times New Roman"/>
          <w:b/>
          <w:i/>
          <w:color w:val="282827"/>
          <w:spacing w:val="5"/>
          <w:sz w:val="24"/>
          <w:szCs w:val="24"/>
        </w:rPr>
        <w:t xml:space="preserve"> Of </w:t>
      </w:r>
      <w:r w:rsidR="00595DDC" w:rsidRPr="00AB0062">
        <w:rPr>
          <w:rFonts w:ascii="Times New Roman" w:hAnsi="Times New Roman" w:cs="Times New Roman"/>
          <w:b/>
          <w:i/>
          <w:color w:val="282827"/>
          <w:spacing w:val="5"/>
          <w:sz w:val="24"/>
          <w:szCs w:val="24"/>
        </w:rPr>
        <w:t>Centre For Environment Law</w:t>
      </w:r>
    </w:p>
    <w:p w:rsidR="00965363" w:rsidRPr="00AB0062" w:rsidRDefault="006D448A" w:rsidP="00AB0062">
      <w:pPr>
        <w:pStyle w:val="Heading1"/>
        <w:shd w:val="clear" w:color="auto" w:fill="FFFFFF"/>
        <w:spacing w:before="0" w:line="276" w:lineRule="auto"/>
        <w:jc w:val="center"/>
        <w:rPr>
          <w:rFonts w:ascii="Times New Roman" w:hAnsi="Times New Roman" w:cs="Times New Roman"/>
          <w:b/>
          <w:i/>
          <w:color w:val="282827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282827"/>
          <w:spacing w:val="5"/>
          <w:sz w:val="24"/>
          <w:szCs w:val="24"/>
        </w:rPr>
        <w:t>Submit by July 15</w:t>
      </w:r>
      <w:r w:rsidR="00595DDC" w:rsidRPr="00AB0062">
        <w:rPr>
          <w:rFonts w:ascii="Times New Roman" w:hAnsi="Times New Roman" w:cs="Times New Roman"/>
          <w:b/>
          <w:i/>
          <w:color w:val="282827"/>
          <w:spacing w:val="5"/>
          <w:sz w:val="24"/>
          <w:szCs w:val="24"/>
        </w:rPr>
        <w:t>, 2019</w:t>
      </w:r>
    </w:p>
    <w:p w:rsidR="00965363" w:rsidRPr="00AB0062" w:rsidRDefault="00965363" w:rsidP="00AB006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The 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Centre for Environment Law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of Institute of Law, Nirma University hereby invites articles/ research papers, case studies, and book reviews on law for publication in the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Journal of Centre for Environment Law(November,</w:t>
      </w:r>
      <w:r w:rsidR="00210CAB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2019</w:t>
      </w:r>
      <w:bookmarkStart w:id="0" w:name="_GoBack"/>
      <w:bookmarkEnd w:id="0"/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Issue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) be</w:t>
      </w:r>
      <w:r w:rsidR="00595DDC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aring ISSN Number: </w:t>
      </w:r>
      <w:r w:rsidR="00595DDC" w:rsidRPr="00AB0062">
        <w:rPr>
          <w:rFonts w:ascii="Times New Roman" w:hAnsi="Times New Roman" w:cs="Times New Roman"/>
          <w:b/>
          <w:i/>
          <w:sz w:val="24"/>
          <w:szCs w:val="24"/>
        </w:rPr>
        <w:t>2456-2246.</w:t>
      </w:r>
    </w:p>
    <w:p w:rsidR="00965363" w:rsidRPr="00AB0062" w:rsidRDefault="008E6C11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The journal is an </w:t>
      </w:r>
      <w:r w:rsidR="00965363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annual, peer-reviewed ISSN serial publication from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Centre for Environment Law of</w:t>
      </w:r>
      <w:r w:rsidR="00965363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Institute of Law, Nirma University.It showcases contemporary issues and challenges specific to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law, with an </w:t>
      </w:r>
      <w:r w:rsidR="00965363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approach towards assimilating knowledge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in the field of environmen</w:t>
      </w:r>
      <w:r w:rsidR="00595DDC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t</w:t>
      </w:r>
      <w:r w:rsidR="00965363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. It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is an endeavor of the centre</w:t>
      </w:r>
      <w:r w:rsidR="00965363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to become the beacon of legal education by encouraging synthesis of knowledge and best practices cutting across the academia and research fraternity.</w:t>
      </w:r>
    </w:p>
    <w:p w:rsidR="00595DDC" w:rsidRPr="00AB0062" w:rsidRDefault="00595DDC" w:rsidP="00AB0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Theme of this year’s submission</w:t>
      </w: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</w:p>
    <w:p w:rsidR="00595DDC" w:rsidRPr="00AB0062" w:rsidRDefault="00AB0062" w:rsidP="00AB0062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IN"/>
        </w:rPr>
        <w:t>Environment effects and l</w:t>
      </w:r>
      <w:r w:rsidR="00595DDC"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oss of Biodiversity </w:t>
      </w:r>
    </w:p>
    <w:p w:rsidR="00595DDC" w:rsidRPr="00AB0062" w:rsidRDefault="00595DDC" w:rsidP="00AB006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>Sub-Themes</w:t>
      </w: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: </w:t>
      </w:r>
    </w:p>
    <w:p w:rsidR="00595DDC" w:rsidRPr="00AB0062" w:rsidRDefault="00595DDC" w:rsidP="00AB006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Oceanic acidification and biodiversity </w:t>
      </w:r>
    </w:p>
    <w:p w:rsidR="00595DDC" w:rsidRPr="00AB0062" w:rsidRDefault="00595DDC" w:rsidP="00AB006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Genetic Engineering and biodiversity </w:t>
      </w:r>
    </w:p>
    <w:p w:rsidR="00595DDC" w:rsidRPr="00AB0062" w:rsidRDefault="00595DDC" w:rsidP="00AB006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Cross border movement of biodiversity </w:t>
      </w:r>
    </w:p>
    <w:p w:rsidR="00595DDC" w:rsidRPr="00AB0062" w:rsidRDefault="00595DDC" w:rsidP="00AB006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Access and benefit sharing in Biodiversity </w:t>
      </w:r>
    </w:p>
    <w:p w:rsidR="00595DDC" w:rsidRPr="00AB0062" w:rsidRDefault="00595DDC" w:rsidP="00AB006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Global warming and climatic effect on Biodiversity </w:t>
      </w:r>
    </w:p>
    <w:p w:rsidR="00595DDC" w:rsidRPr="00AB0062" w:rsidRDefault="00595DDC" w:rsidP="00AB006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>India and CBD: The recent trends</w:t>
      </w:r>
    </w:p>
    <w:p w:rsidR="00595DDC" w:rsidRPr="00AB0062" w:rsidRDefault="00595DDC" w:rsidP="00AB0062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AB0062">
        <w:rPr>
          <w:rFonts w:ascii="Times New Roman" w:eastAsia="Times New Roman" w:hAnsi="Times New Roman" w:cs="Times New Roman"/>
          <w:sz w:val="24"/>
          <w:szCs w:val="24"/>
          <w:lang w:eastAsia="en-IN"/>
        </w:rPr>
        <w:t>Any Other</w:t>
      </w:r>
    </w:p>
    <w:p w:rsidR="00965363" w:rsidRPr="00AB0062" w:rsidRDefault="00965363" w:rsidP="00AB0062">
      <w:pPr>
        <w:shd w:val="clear" w:color="auto" w:fill="FFFFFF"/>
        <w:spacing w:before="360" w:after="210" w:line="276" w:lineRule="auto"/>
        <w:jc w:val="both"/>
        <w:outlineLvl w:val="3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bCs/>
          <w:color w:val="282827"/>
          <w:sz w:val="24"/>
          <w:szCs w:val="24"/>
          <w:lang w:val="en-US"/>
        </w:rPr>
        <w:t>SUBMISSION GUIDELINES</w:t>
      </w:r>
    </w:p>
    <w:p w:rsidR="00965363" w:rsidRPr="00AB0062" w:rsidRDefault="00965363" w:rsidP="00AB0062">
      <w:pPr>
        <w:pStyle w:val="ListParagraph"/>
        <w:numPr>
          <w:ilvl w:val="0"/>
          <w:numId w:val="4"/>
        </w:num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Word Limit: Submissions should not exceed</w:t>
      </w:r>
    </w:p>
    <w:p w:rsidR="00965363" w:rsidRPr="00AB0062" w:rsidRDefault="00965363" w:rsidP="00AB0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035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Research papers (5,000- 6,000 words),</w:t>
      </w:r>
    </w:p>
    <w:p w:rsidR="00965363" w:rsidRPr="00AB0062" w:rsidRDefault="00965363" w:rsidP="00AB0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035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Short notes (2000-3000 words),</w:t>
      </w:r>
    </w:p>
    <w:p w:rsidR="00965363" w:rsidRPr="00AB0062" w:rsidRDefault="00965363" w:rsidP="00AB0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035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Book reviews (1000-2000 words), and</w:t>
      </w:r>
    </w:p>
    <w:p w:rsidR="00965363" w:rsidRPr="00AB0062" w:rsidRDefault="00965363" w:rsidP="00AB006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ind w:left="1035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Case studies/commentaries (1000-3000 words).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However, looking at the quality and depth of research, relaxation may be given and word limit may vary.</w:t>
      </w:r>
    </w:p>
    <w:p w:rsidR="00965363" w:rsidRPr="00AB0062" w:rsidRDefault="00595DDC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282827"/>
          <w:sz w:val="24"/>
          <w:szCs w:val="24"/>
          <w:lang w:val="en-US"/>
        </w:rPr>
        <w:t>2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. </w:t>
      </w:r>
      <w:r w:rsidR="00965363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Entries from all aspects of law whether direct or applied are welcome.</w:t>
      </w:r>
    </w:p>
    <w:p w:rsidR="00A972C5" w:rsidRPr="00A972C5" w:rsidRDefault="00965363" w:rsidP="00A972C5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282827"/>
          <w:sz w:val="24"/>
          <w:szCs w:val="24"/>
          <w:lang w:val="en-US"/>
        </w:rPr>
        <w:lastRenderedPageBreak/>
        <w:t>3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. Eligibility: </w:t>
      </w:r>
      <w:r w:rsidR="00A972C5" w:rsidRPr="00A972C5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It sha</w:t>
      </w:r>
      <w:r w:rsidR="007056D4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ll be open to all law students </w:t>
      </w:r>
      <w:r w:rsidR="00A972C5" w:rsidRPr="00A972C5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(5 Year Integrated LLB/3 Year LLB/LLM)</w:t>
      </w:r>
      <w:r w:rsidR="006D448A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, Person form Legal academia</w:t>
      </w:r>
      <w:r w:rsidR="00DB411B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, Law Practitioner et al. 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282827"/>
          <w:sz w:val="24"/>
          <w:szCs w:val="24"/>
          <w:lang w:val="en-US"/>
        </w:rPr>
        <w:t>4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. Authorship: Entries can be </w:t>
      </w:r>
      <w:r w:rsidR="006D448A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Single authored or 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co-authored. However, a maximum of two authors per entry is allowed.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282827"/>
          <w:sz w:val="24"/>
          <w:szCs w:val="24"/>
          <w:lang w:val="en-US"/>
        </w:rPr>
        <w:t>5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. Citation Style: The Blue-boo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k Uniform System of Citation (20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th edition) shall be strictly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adhered to.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282827"/>
          <w:sz w:val="24"/>
          <w:szCs w:val="24"/>
          <w:lang w:val="en-US"/>
        </w:rPr>
        <w:t>6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. Format of Main Text &amp; the Footnotes: The Times New Roman font, in font size 12 is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prescribed for all entries. Further, the footnotes shall be in font size 10 and line spacing of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1.5 and 1.0 shall be followed respectively.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282827"/>
          <w:sz w:val="24"/>
          <w:szCs w:val="24"/>
          <w:lang w:val="en-US"/>
        </w:rPr>
        <w:t>7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. Mode of Submission: Entries are to be sen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t at </w:t>
      </w:r>
      <w:hyperlink r:id="rId5" w:history="1">
        <w:r w:rsidR="007056D4" w:rsidRPr="00F9219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centenvlaw.il@nirmauni.ac.in</w:t>
        </w:r>
      </w:hyperlink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late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st by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</w:r>
      <w:r w:rsidR="006D448A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July 15</w:t>
      </w:r>
      <w:r w:rsidR="007056D4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, 2019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(11:59 pm). No hard copy of the same is required.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282827"/>
          <w:sz w:val="24"/>
          <w:szCs w:val="24"/>
          <w:lang w:val="en-US"/>
        </w:rPr>
        <w:t>8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. Upon the completion of the review process the authors of accepted papers would be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notified.</w:t>
      </w:r>
    </w:p>
    <w:p w:rsidR="00965363" w:rsidRPr="00AB0062" w:rsidRDefault="00965363" w:rsidP="00AB0062">
      <w:pPr>
        <w:shd w:val="clear" w:color="auto" w:fill="FFFFFF"/>
        <w:spacing w:before="360" w:after="210" w:line="276" w:lineRule="auto"/>
        <w:jc w:val="both"/>
        <w:outlineLvl w:val="3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bCs/>
          <w:color w:val="282827"/>
          <w:sz w:val="24"/>
          <w:szCs w:val="24"/>
          <w:lang w:val="en-US"/>
        </w:rPr>
        <w:t>PUBLICATION POLICY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1. All the su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bmissions sent to the Centre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must be original and should not have been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published nor should they be under consideration for publication in any other journal.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2. Plagiarized entries are liable to be rejected.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3. There must not be any copyright issues with the article sent for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publication purposes.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Centre for Environment Law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denies any liability which may arise in this regard.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4. By way of submitting their work to 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the Journal of Centre for Environment Law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, the authors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gr</w:t>
      </w:r>
      <w:r w:rsidR="008E6C11"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ant exclusive permission to JCEL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 xml:space="preserve"> to publish and reproduce their work in all streams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of media.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Such right is subject to the doctrine of fair use as followed under the law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relating to Intellectual Property Rights and subject to the entitlements of the author.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5. A process of peer-review shall be used to scrutinize all the submissions.</w:t>
      </w:r>
    </w:p>
    <w:p w:rsidR="00965363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lastRenderedPageBreak/>
        <w:t>6. The editors reserve the right to delete or edit any article or part thereof whose content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is found to be offensive, defamatory, out rightly unethical, or if it is suggestive of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racism, sexual or religious discrimination, illegal or terror activities etc.</w:t>
      </w:r>
    </w:p>
    <w:p w:rsidR="007740A9" w:rsidRPr="00AB0062" w:rsidRDefault="00965363" w:rsidP="00AB0062">
      <w:pPr>
        <w:shd w:val="clear" w:color="auto" w:fill="FFFFFF"/>
        <w:spacing w:after="390" w:line="276" w:lineRule="auto"/>
        <w:jc w:val="both"/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t>The article is subjected to rejection if its content is likely to offend the religious or political</w:t>
      </w:r>
      <w:r w:rsidRPr="00AB0062">
        <w:rPr>
          <w:rFonts w:ascii="Times New Roman" w:eastAsia="Times New Roman" w:hAnsi="Times New Roman" w:cs="Times New Roman"/>
          <w:color w:val="282827"/>
          <w:sz w:val="24"/>
          <w:szCs w:val="24"/>
          <w:lang w:val="en-US"/>
        </w:rPr>
        <w:br/>
        <w:t>sentiments of the reader.</w:t>
      </w:r>
    </w:p>
    <w:p w:rsidR="000508D0" w:rsidRPr="00AB0062" w:rsidRDefault="000508D0" w:rsidP="00AB0062">
      <w:pPr>
        <w:pStyle w:val="Heading1"/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</w:pPr>
      <w:r w:rsidRPr="00AB0062"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en-US"/>
        </w:rPr>
        <w:t>Contact Details</w:t>
      </w:r>
    </w:p>
    <w:p w:rsidR="000508D0" w:rsidRPr="00AB0062" w:rsidRDefault="000508D0" w:rsidP="00AB006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508D0" w:rsidRPr="00AB0062" w:rsidRDefault="000508D0" w:rsidP="00AB0062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0062">
        <w:rPr>
          <w:rFonts w:ascii="Times New Roman" w:hAnsi="Times New Roman" w:cs="Times New Roman"/>
          <w:sz w:val="24"/>
          <w:szCs w:val="24"/>
        </w:rPr>
        <w:t>Centre for Environment Law</w:t>
      </w:r>
      <w:r w:rsidRPr="00AB0062">
        <w:rPr>
          <w:rFonts w:ascii="Times New Roman" w:hAnsi="Times New Roman" w:cs="Times New Roman"/>
          <w:sz w:val="24"/>
          <w:szCs w:val="24"/>
        </w:rPr>
        <w:br/>
        <w:t>Institute of Law, </w:t>
      </w:r>
      <w:r w:rsidRPr="00AB0062">
        <w:rPr>
          <w:rFonts w:ascii="Times New Roman" w:hAnsi="Times New Roman" w:cs="Times New Roman"/>
          <w:sz w:val="24"/>
          <w:szCs w:val="24"/>
        </w:rPr>
        <w:br/>
        <w:t>Nirma University</w:t>
      </w:r>
      <w:r w:rsidRPr="00AB0062">
        <w:rPr>
          <w:rFonts w:ascii="Times New Roman" w:hAnsi="Times New Roman" w:cs="Times New Roman"/>
          <w:sz w:val="24"/>
          <w:szCs w:val="24"/>
        </w:rPr>
        <w:br/>
        <w:t>Sarkhej - Gandhinagar Highway,</w:t>
      </w:r>
      <w:r w:rsidRPr="00AB0062">
        <w:rPr>
          <w:rFonts w:ascii="Times New Roman" w:hAnsi="Times New Roman" w:cs="Times New Roman"/>
          <w:sz w:val="24"/>
          <w:szCs w:val="24"/>
        </w:rPr>
        <w:br/>
        <w:t>Post : Chandlodia, Via : Gota</w:t>
      </w:r>
      <w:r w:rsidRPr="00AB0062">
        <w:rPr>
          <w:rFonts w:ascii="Times New Roman" w:hAnsi="Times New Roman" w:cs="Times New Roman"/>
          <w:sz w:val="24"/>
          <w:szCs w:val="24"/>
        </w:rPr>
        <w:br/>
        <w:t>Ahmedabad-382 481</w:t>
      </w:r>
      <w:r w:rsidRPr="00AB0062">
        <w:rPr>
          <w:rFonts w:ascii="Times New Roman" w:hAnsi="Times New Roman" w:cs="Times New Roman"/>
          <w:sz w:val="24"/>
          <w:szCs w:val="24"/>
        </w:rPr>
        <w:br/>
        <w:t>Ph.No: 07930642823                        </w:t>
      </w:r>
      <w:r w:rsidRPr="00AB0062">
        <w:rPr>
          <w:rFonts w:ascii="Times New Roman" w:hAnsi="Times New Roman" w:cs="Times New Roman"/>
          <w:sz w:val="24"/>
          <w:szCs w:val="24"/>
        </w:rPr>
        <w:br/>
        <w:t>Email: centenvlaw.il@nirmauni.ac.in</w:t>
      </w:r>
    </w:p>
    <w:sectPr w:rsidR="000508D0" w:rsidRPr="00AB0062" w:rsidSect="00B4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98C"/>
    <w:multiLevelType w:val="multilevel"/>
    <w:tmpl w:val="3F7E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105A7"/>
    <w:multiLevelType w:val="multilevel"/>
    <w:tmpl w:val="162C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8D0BED"/>
    <w:multiLevelType w:val="multilevel"/>
    <w:tmpl w:val="6E505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F017B6"/>
    <w:multiLevelType w:val="hybridMultilevel"/>
    <w:tmpl w:val="236895A0"/>
    <w:lvl w:ilvl="0" w:tplc="C770BF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compat/>
  <w:rsids>
    <w:rsidRoot w:val="002C43F5"/>
    <w:rsid w:val="000508D0"/>
    <w:rsid w:val="00075040"/>
    <w:rsid w:val="00210CAB"/>
    <w:rsid w:val="002177DE"/>
    <w:rsid w:val="002C43F5"/>
    <w:rsid w:val="00595DDC"/>
    <w:rsid w:val="006D448A"/>
    <w:rsid w:val="007056D4"/>
    <w:rsid w:val="00714B00"/>
    <w:rsid w:val="007740A9"/>
    <w:rsid w:val="008E13F2"/>
    <w:rsid w:val="008E6C11"/>
    <w:rsid w:val="00965363"/>
    <w:rsid w:val="00A44743"/>
    <w:rsid w:val="00A972C5"/>
    <w:rsid w:val="00AB0062"/>
    <w:rsid w:val="00AF75B4"/>
    <w:rsid w:val="00B405BE"/>
    <w:rsid w:val="00B649BA"/>
    <w:rsid w:val="00D41DFE"/>
    <w:rsid w:val="00DB411B"/>
    <w:rsid w:val="00E66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BE"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3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9653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6536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6536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6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653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N"/>
    </w:rPr>
  </w:style>
  <w:style w:type="paragraph" w:styleId="ListParagraph">
    <w:name w:val="List Paragraph"/>
    <w:basedOn w:val="Normal"/>
    <w:uiPriority w:val="34"/>
    <w:qFormat/>
    <w:rsid w:val="00595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6D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ntenvlaw.il@nirmauni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Rupali Rastogi</dc:creator>
  <cp:lastModifiedBy>asus</cp:lastModifiedBy>
  <cp:revision>2</cp:revision>
  <dcterms:created xsi:type="dcterms:W3CDTF">2019-06-10T05:47:00Z</dcterms:created>
  <dcterms:modified xsi:type="dcterms:W3CDTF">2019-06-10T05:47:00Z</dcterms:modified>
</cp:coreProperties>
</file>